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Programa Nacional de Etnografía (PRONE) 2021-2023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Estructura del proyecto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 proyecto debe tener una extensión máxima de doce cuartillas y contener los siguientes apartados: 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Título descriptivo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Planteamiento del problema de investigación (incluir grupo sociocultural a abordar y lugar de investigación)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Pregunta de investigación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Objetivo general y particulares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Justificación (incluir aportes al eje de investigación)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Abordaje conceptual básico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Metodología (incluir abordaje interdisciplinario)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Justificación de modalidad de participación de acuerdo a las condiciones del investigador(a) en su centro de trabajo</w:t>
      </w:r>
      <w:r w:rsidDel="00000000" w:rsidR="00000000" w:rsidRPr="00000000">
        <w:rPr>
          <w:rFonts w:ascii="Montserrat" w:cs="Montserrat" w:eastAsia="Montserrat" w:hAnsi="Montserrat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Actividades y productos entregables del proyecto por cada año fiscal, considerando resultados en formatos diversos para difusión-divulgación de la información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Calendario de trabajo (ver anexo)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Mecanismo de trabajo (formas de organización, distribución y participación del trabajo por integrante: seminarios de discusión, programación de lecturas; trabajo de campo u otras)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line="259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Bibliografía </w:t>
      </w:r>
    </w:p>
    <w:p w:rsidR="00000000" w:rsidDel="00000000" w:rsidP="00000000" w:rsidRDefault="00000000" w:rsidRPr="00000000" w14:paraId="00000014">
      <w:pPr>
        <w:spacing w:after="240" w:line="259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59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59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259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59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="259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59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="259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59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Anexo</w:t>
      </w:r>
    </w:p>
    <w:p w:rsidR="00000000" w:rsidDel="00000000" w:rsidP="00000000" w:rsidRDefault="00000000" w:rsidRPr="00000000" w14:paraId="0000001D">
      <w:pPr>
        <w:spacing w:after="240" w:line="259" w:lineRule="auto"/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Cuadro de referencia para programación de trabajo de campo</w:t>
      </w:r>
      <w:r w:rsidDel="00000000" w:rsidR="00000000" w:rsidRPr="00000000">
        <w:rPr>
          <w:rFonts w:ascii="Montserrat" w:cs="Montserrat" w:eastAsia="Montserrat" w:hAnsi="Montserrat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0"/>
        <w:gridCol w:w="2460"/>
        <w:gridCol w:w="5745"/>
        <w:tblGridChange w:id="0">
          <w:tblGrid>
            <w:gridCol w:w="990"/>
            <w:gridCol w:w="2460"/>
            <w:gridCol w:w="574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left="260" w:firstLine="0"/>
              <w:jc w:val="both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Año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left="260" w:firstLine="0"/>
              <w:jc w:val="both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Meses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left="0" w:firstLine="0"/>
              <w:jc w:val="both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Actividad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260" w:firstLine="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2021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octubre-diciembre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Trabajo de gabinete</w:t>
            </w:r>
          </w:p>
        </w:tc>
      </w:tr>
      <w:tr>
        <w:trPr>
          <w:cantSplit w:val="0"/>
          <w:trHeight w:val="3.8400000000000034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line="259" w:lineRule="auto"/>
              <w:ind w:left="260" w:firstLine="0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left="260" w:firstLine="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260" w:firstLine="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enero-marzo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Trabajo de gabinete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line="259" w:lineRule="auto"/>
              <w:ind w:left="260" w:firstLine="0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marzo-noviembre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Trabajo de gabinete y trabajo de campo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line="259" w:lineRule="auto"/>
              <w:ind w:left="260" w:firstLine="0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diciembre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Entrega de resultados y cierre del primer año fiscal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left="260" w:firstLine="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260" w:firstLine="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enero-marzo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Trabajo de gabinete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ind w:left="260" w:firstLine="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abril-junio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Trabajo de campo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line="259" w:lineRule="auto"/>
              <w:ind w:left="260" w:firstLine="0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julio-diciembre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Trabajo de gabinete y cierre del proyecto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jc w:val="both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FIN DE 1ª EMISIÓN DEL PRONE</w:t>
            </w:r>
          </w:p>
        </w:tc>
      </w:tr>
    </w:tbl>
    <w:p w:rsidR="00000000" w:rsidDel="00000000" w:rsidP="00000000" w:rsidRDefault="00000000" w:rsidRPr="00000000" w14:paraId="0000003C">
      <w:pPr>
        <w:spacing w:after="240" w:line="259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Este programa promueve dos modalidades de participación: proyectos colectivos e individuales. La primera impulsa la generación de conocimiento etnográfico-interdisciplinario en colectivo y la articulación de investigadores del INAH; la segunda modalidad busca apoyar principalmente la investigación en Centros INAH en los cuales la presencia de investigadores es baja, y tiene como meta fortalecer el trabajo de campo.</w:t>
      </w:r>
    </w:p>
  </w:footnote>
  <w:footnote w:id="1"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Considerando la disponibilidad de los recursos de acuerdo a la validación de la tarjeta y su ministración por parte de las áreas competentes. Cada proyecto aprobado tendrá su propio folio en 2022 y 2023 en el SIP.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-657224</wp:posOffset>
          </wp:positionH>
          <wp:positionV relativeFrom="paragraph">
            <wp:posOffset>-276224</wp:posOffset>
          </wp:positionV>
          <wp:extent cx="1700213" cy="77492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213" cy="77492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